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8B07E0" w14:textId="77777777" w:rsidR="008C081B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3"/>
          <w:szCs w:val="23"/>
        </w:rPr>
      </w:pPr>
      <w:r>
        <w:rPr>
          <w:rFonts w:ascii="Arial" w:eastAsia="Arial" w:hAnsi="Arial" w:cs="Arial"/>
          <w:b/>
          <w:bCs/>
          <w:color w:val="000000"/>
          <w:sz w:val="23"/>
          <w:szCs w:val="23"/>
        </w:rPr>
        <w:t>Descriptivo de Términos</w:t>
      </w:r>
    </w:p>
    <w:p w14:paraId="69BA0473" w14:textId="77777777" w:rsidR="008C081B" w:rsidRDefault="008C081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3"/>
          <w:szCs w:val="23"/>
        </w:rPr>
      </w:pPr>
    </w:p>
    <w:tbl>
      <w:tblPr>
        <w:tblStyle w:val="a"/>
        <w:tblW w:w="9924" w:type="dxa"/>
        <w:tblInd w:w="-4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97"/>
        <w:gridCol w:w="7227"/>
      </w:tblGrid>
      <w:tr w:rsidR="008C081B" w14:paraId="41E91049" w14:textId="77777777">
        <w:trPr>
          <w:trHeight w:val="603"/>
        </w:trPr>
        <w:tc>
          <w:tcPr>
            <w:tcW w:w="9924" w:type="dxa"/>
            <w:gridSpan w:val="2"/>
            <w:shd w:val="clear" w:color="auto" w:fill="DDD9C3"/>
            <w:vAlign w:val="center"/>
          </w:tcPr>
          <w:p w14:paraId="20499515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Obligatorios</w:t>
            </w:r>
          </w:p>
        </w:tc>
      </w:tr>
      <w:tr w:rsidR="008C081B" w14:paraId="5B9CF225" w14:textId="77777777">
        <w:tc>
          <w:tcPr>
            <w:tcW w:w="2697" w:type="dxa"/>
          </w:tcPr>
          <w:p w14:paraId="25228934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Concepto</w:t>
            </w:r>
          </w:p>
        </w:tc>
        <w:tc>
          <w:tcPr>
            <w:tcW w:w="7227" w:type="dxa"/>
          </w:tcPr>
          <w:p w14:paraId="38F64AB6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Descripción</w:t>
            </w:r>
          </w:p>
        </w:tc>
      </w:tr>
      <w:tr w:rsidR="008C081B" w14:paraId="2ACE929A" w14:textId="77777777">
        <w:tc>
          <w:tcPr>
            <w:tcW w:w="2697" w:type="dxa"/>
            <w:vAlign w:val="center"/>
          </w:tcPr>
          <w:p w14:paraId="2F0260F7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CFDI</w:t>
            </w:r>
          </w:p>
        </w:tc>
        <w:tc>
          <w:tcPr>
            <w:tcW w:w="7227" w:type="dxa"/>
          </w:tcPr>
          <w:p w14:paraId="094EB050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Comprobante Fiscal Digital por Internet </w:t>
            </w:r>
          </w:p>
        </w:tc>
      </w:tr>
      <w:tr w:rsidR="008C081B" w14:paraId="58638B90" w14:textId="77777777">
        <w:trPr>
          <w:trHeight w:val="603"/>
        </w:trPr>
        <w:tc>
          <w:tcPr>
            <w:tcW w:w="9924" w:type="dxa"/>
            <w:gridSpan w:val="2"/>
            <w:shd w:val="clear" w:color="auto" w:fill="DDD9C3"/>
            <w:vAlign w:val="center"/>
          </w:tcPr>
          <w:p w14:paraId="51DAF7DC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Docencia</w:t>
            </w:r>
          </w:p>
        </w:tc>
      </w:tr>
      <w:tr w:rsidR="008C081B" w14:paraId="4A0B503D" w14:textId="77777777">
        <w:tc>
          <w:tcPr>
            <w:tcW w:w="2697" w:type="dxa"/>
          </w:tcPr>
          <w:p w14:paraId="7DEDE894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Concepto</w:t>
            </w:r>
          </w:p>
        </w:tc>
        <w:tc>
          <w:tcPr>
            <w:tcW w:w="7227" w:type="dxa"/>
          </w:tcPr>
          <w:p w14:paraId="2B006ABB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Descripción</w:t>
            </w:r>
          </w:p>
        </w:tc>
      </w:tr>
      <w:tr w:rsidR="008C081B" w14:paraId="44B0EF00" w14:textId="77777777">
        <w:tc>
          <w:tcPr>
            <w:tcW w:w="2697" w:type="dxa"/>
            <w:vAlign w:val="center"/>
          </w:tcPr>
          <w:p w14:paraId="2F1218DD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Curso de inducción</w:t>
            </w:r>
          </w:p>
          <w:p w14:paraId="6450B4EB" w14:textId="77777777" w:rsidR="008C081B" w:rsidRDefault="008C08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227" w:type="dxa"/>
          </w:tcPr>
          <w:p w14:paraId="07398506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Curso dirigido a los/las estudiantes de nuevo ingreso, para dar a conocer las normas, políticas, reglamentos y vida institucional.</w:t>
            </w:r>
          </w:p>
        </w:tc>
      </w:tr>
      <w:tr w:rsidR="008C081B" w14:paraId="4C9E4541" w14:textId="77777777">
        <w:tc>
          <w:tcPr>
            <w:tcW w:w="2697" w:type="dxa"/>
            <w:vAlign w:val="center"/>
          </w:tcPr>
          <w:p w14:paraId="52CDB934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Curso propedéutico</w:t>
            </w:r>
          </w:p>
          <w:p w14:paraId="3946D070" w14:textId="77777777" w:rsidR="008C081B" w:rsidRDefault="008C08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227" w:type="dxa"/>
          </w:tcPr>
          <w:p w14:paraId="6CB73CA4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Curso dirigido a los/las estudiantes de nuevo ingreso cuya finalidad es prepararlos(as) académicamente para su incorporación en la institución.</w:t>
            </w:r>
          </w:p>
        </w:tc>
      </w:tr>
      <w:tr w:rsidR="008C081B" w14:paraId="40B0DC9E" w14:textId="77777777">
        <w:tc>
          <w:tcPr>
            <w:tcW w:w="2697" w:type="dxa"/>
            <w:vAlign w:val="center"/>
          </w:tcPr>
          <w:p w14:paraId="6ED3BB2F" w14:textId="77777777" w:rsidR="008C081B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Educación a distancia</w:t>
            </w:r>
          </w:p>
        </w:tc>
        <w:tc>
          <w:tcPr>
            <w:tcW w:w="7227" w:type="dxa"/>
          </w:tcPr>
          <w:p w14:paraId="4BC0DB7B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Es el sistema de educación que tiene como base el uso de escenarios múltiples, soportados con tecnologías de la información y comunicación. La educación a distancia se imparte en tres modalidades: abierta, virtual y mixta. </w:t>
            </w:r>
          </w:p>
        </w:tc>
      </w:tr>
      <w:tr w:rsidR="008C081B" w14:paraId="1DE46231" w14:textId="77777777">
        <w:tc>
          <w:tcPr>
            <w:tcW w:w="2697" w:type="dxa"/>
            <w:vAlign w:val="center"/>
          </w:tcPr>
          <w:p w14:paraId="5C0C788E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Sistema escolarizado</w:t>
            </w:r>
          </w:p>
          <w:p w14:paraId="6579D3A6" w14:textId="77777777" w:rsidR="008C081B" w:rsidRDefault="008C08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227" w:type="dxa"/>
          </w:tcPr>
          <w:p w14:paraId="0DB96F02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Este sistema es totalmente presencial, requiere de la asistencia de los/las alumnos(as) de manera cotidiana, ya que para la evaluación el/la docente considera entre otros: la asistencia, cumplimiento de evidencias, investigaciones, prácticas de laboratorio y de campo, exposiciones, exámenes.</w:t>
            </w:r>
          </w:p>
        </w:tc>
      </w:tr>
      <w:tr w:rsidR="008C081B" w14:paraId="1E55FED6" w14:textId="77777777">
        <w:trPr>
          <w:trHeight w:val="639"/>
        </w:trPr>
        <w:tc>
          <w:tcPr>
            <w:tcW w:w="9924" w:type="dxa"/>
            <w:gridSpan w:val="2"/>
            <w:shd w:val="clear" w:color="auto" w:fill="DDD9C3"/>
            <w:vAlign w:val="center"/>
          </w:tcPr>
          <w:p w14:paraId="5D97A9B2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Investigación</w:t>
            </w:r>
          </w:p>
        </w:tc>
      </w:tr>
      <w:tr w:rsidR="008C081B" w14:paraId="08137170" w14:textId="77777777">
        <w:tc>
          <w:tcPr>
            <w:tcW w:w="2697" w:type="dxa"/>
            <w:vAlign w:val="center"/>
          </w:tcPr>
          <w:p w14:paraId="641E242B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Artículo especializado en revista</w:t>
            </w:r>
          </w:p>
        </w:tc>
        <w:tc>
          <w:tcPr>
            <w:tcW w:w="7227" w:type="dxa"/>
          </w:tcPr>
          <w:p w14:paraId="735E69F3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 la publicación de los resultados de investigación en revistas especializadas con arbitraje, que informan sobre estudios originales, teorías o técnicas que no han sido publicados con anterioridad y que contribuyen a la generación del conocimiento.</w:t>
            </w:r>
          </w:p>
        </w:tc>
      </w:tr>
      <w:tr w:rsidR="008C081B" w14:paraId="7F0B539F" w14:textId="77777777">
        <w:tc>
          <w:tcPr>
            <w:tcW w:w="2697" w:type="dxa"/>
            <w:vAlign w:val="center"/>
          </w:tcPr>
          <w:p w14:paraId="6CF3875D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Artículos de revisión bibliográfica en revista.</w:t>
            </w:r>
          </w:p>
        </w:tc>
        <w:tc>
          <w:tcPr>
            <w:tcW w:w="7227" w:type="dxa"/>
          </w:tcPr>
          <w:p w14:paraId="559CE508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 la publicación de trabajos de investigaciones bibliográficas, su finalidad es analizar críticamente, ordenar y presentar un tema determinado.</w:t>
            </w:r>
          </w:p>
        </w:tc>
      </w:tr>
      <w:tr w:rsidR="008C081B" w14:paraId="3520E35B" w14:textId="77777777">
        <w:tc>
          <w:tcPr>
            <w:tcW w:w="2697" w:type="dxa"/>
            <w:vAlign w:val="center"/>
          </w:tcPr>
          <w:p w14:paraId="7093F44B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Artículo Publicado en Revista Indexada</w:t>
            </w:r>
          </w:p>
        </w:tc>
        <w:tc>
          <w:tcPr>
            <w:tcW w:w="7227" w:type="dxa"/>
          </w:tcPr>
          <w:p w14:paraId="770FD30F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333333"/>
              </w:rPr>
            </w:pPr>
            <w:r>
              <w:rPr>
                <w:rFonts w:ascii="Arial" w:eastAsia="Arial" w:hAnsi="Arial" w:cs="Arial"/>
                <w:color w:val="333333"/>
              </w:rPr>
              <w:t xml:space="preserve">Es la publicación de los resultados de investigación en revistas que se encuentran integradas en el </w:t>
            </w:r>
            <w:proofErr w:type="spellStart"/>
            <w:r>
              <w:rPr>
                <w:rFonts w:ascii="Arial" w:eastAsia="Arial" w:hAnsi="Arial" w:cs="Arial"/>
                <w:color w:val="333333"/>
              </w:rPr>
              <w:t>Journal</w:t>
            </w:r>
            <w:proofErr w:type="spellEnd"/>
            <w:r>
              <w:rPr>
                <w:rFonts w:ascii="Arial" w:eastAsia="Arial" w:hAnsi="Arial" w:cs="Arial"/>
                <w:color w:val="333333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333333"/>
              </w:rPr>
              <w:t>Citation</w:t>
            </w:r>
            <w:proofErr w:type="spellEnd"/>
            <w:r>
              <w:rPr>
                <w:rFonts w:ascii="Arial" w:eastAsia="Arial" w:hAnsi="Arial" w:cs="Arial"/>
                <w:color w:val="333333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333333"/>
              </w:rPr>
              <w:t>Report</w:t>
            </w:r>
            <w:proofErr w:type="spellEnd"/>
            <w:r>
              <w:rPr>
                <w:rFonts w:ascii="Arial" w:eastAsia="Arial" w:hAnsi="Arial" w:cs="Arial"/>
                <w:color w:val="333333"/>
              </w:rPr>
              <w:t xml:space="preserve"> (JCR) por condiciones editoriales estrictas como el arbitraje, que informan sobre estudios originales, teorías o técnicas que no han sido publicados con anterioridad y que contribuyen a la generación del conocimiento o la innovación tecnológica.</w:t>
            </w:r>
          </w:p>
        </w:tc>
      </w:tr>
      <w:tr w:rsidR="008C081B" w14:paraId="60D1D5D4" w14:textId="77777777">
        <w:tc>
          <w:tcPr>
            <w:tcW w:w="2697" w:type="dxa"/>
            <w:vAlign w:val="center"/>
          </w:tcPr>
          <w:p w14:paraId="49BEEC1B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Capítulo de libro</w:t>
            </w:r>
          </w:p>
        </w:tc>
        <w:tc>
          <w:tcPr>
            <w:tcW w:w="7227" w:type="dxa"/>
          </w:tcPr>
          <w:p w14:paraId="3C749DAD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Para ser considerado como tal, debe formar parte de un libro editado y publicado, de acuerdo con los criterios del rubro del libro. Preferentemente se realizan por invitación del Editor(a) asignado por la Casa Editora.</w:t>
            </w:r>
          </w:p>
        </w:tc>
      </w:tr>
      <w:tr w:rsidR="008C081B" w14:paraId="21097ABE" w14:textId="77777777">
        <w:tc>
          <w:tcPr>
            <w:tcW w:w="2697" w:type="dxa"/>
            <w:vAlign w:val="center"/>
          </w:tcPr>
          <w:p w14:paraId="6D051A01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Citas bibliográficas</w:t>
            </w:r>
          </w:p>
        </w:tc>
        <w:tc>
          <w:tcPr>
            <w:tcW w:w="7227" w:type="dxa"/>
          </w:tcPr>
          <w:p w14:paraId="77C37918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Son las citas que hacen otros(as) autores(as) de trabajos desarrollados y publicado por un/una profesor(a), muy importante no es aplicable para las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autocitas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, que son citas que realizan colaboradores(as) o el mismo autor(a) de obras suyas publicadas con anterioridad.</w:t>
            </w:r>
          </w:p>
        </w:tc>
      </w:tr>
      <w:tr w:rsidR="008C081B" w14:paraId="2730121D" w14:textId="77777777">
        <w:tc>
          <w:tcPr>
            <w:tcW w:w="2697" w:type="dxa"/>
            <w:vAlign w:val="center"/>
          </w:tcPr>
          <w:p w14:paraId="03B68998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Desarrollo de prototipo</w:t>
            </w:r>
          </w:p>
        </w:tc>
        <w:tc>
          <w:tcPr>
            <w:tcW w:w="7227" w:type="dxa"/>
          </w:tcPr>
          <w:p w14:paraId="0CC93309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 el diseño y construcción original de un dispositivo, a una escala que permita evaluar algún proceso, en forma previa a su implementación a gran escala o el desarrollo de una metodología innovadora.</w:t>
            </w:r>
          </w:p>
          <w:p w14:paraId="1DB79732" w14:textId="77777777" w:rsidR="008C081B" w:rsidRDefault="00000000" w:rsidP="001309BB">
            <w:pPr>
              <w:numPr>
                <w:ilvl w:val="0"/>
                <w:numId w:val="1"/>
              </w:numPr>
              <w:spacing w:before="280"/>
              <w:ind w:left="451" w:hanging="451"/>
              <w:jc w:val="both"/>
            </w:pPr>
            <w:r>
              <w:rPr>
                <w:rFonts w:ascii="Arial" w:eastAsia="Arial" w:hAnsi="Arial" w:cs="Arial"/>
              </w:rPr>
              <w:t>Un p</w:t>
            </w:r>
            <w:r>
              <w:rPr>
                <w:rFonts w:ascii="Arial" w:eastAsia="Arial" w:hAnsi="Arial" w:cs="Arial"/>
                <w:b/>
                <w:bCs/>
              </w:rPr>
              <w:t>rototipo</w:t>
            </w:r>
            <w:r>
              <w:rPr>
                <w:rFonts w:ascii="Arial" w:eastAsia="Arial" w:hAnsi="Arial" w:cs="Arial"/>
              </w:rPr>
              <w:t xml:space="preserve"> es un ejemplar o primer molde en que se fabrica una figura u otra cosa, también se puede referir a cualquier tipo de máquina en pruebas, o un objeto diseñado para una demostración de cualquier tipo.</w:t>
            </w:r>
          </w:p>
        </w:tc>
      </w:tr>
      <w:tr w:rsidR="008C081B" w14:paraId="2FEC79C2" w14:textId="77777777">
        <w:tc>
          <w:tcPr>
            <w:tcW w:w="2697" w:type="dxa"/>
            <w:vAlign w:val="center"/>
          </w:tcPr>
          <w:p w14:paraId="7A3397CE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Diseño y construcción de equipo de laboratorio</w:t>
            </w:r>
          </w:p>
        </w:tc>
        <w:tc>
          <w:tcPr>
            <w:tcW w:w="7227" w:type="dxa"/>
          </w:tcPr>
          <w:p w14:paraId="2853BFA9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Son aquellos dispositivos originales diseñados y construidos por el/la profesor(a) para ser utilizados en algún laboratorio con fines de investigación o docencia.</w:t>
            </w:r>
          </w:p>
        </w:tc>
      </w:tr>
    </w:tbl>
    <w:p w14:paraId="1E07C645" w14:textId="77777777" w:rsidR="008C081B" w:rsidRDefault="008C081B"/>
    <w:p w14:paraId="2B4E00C9" w14:textId="77777777" w:rsidR="008C081B" w:rsidRDefault="00000000">
      <w:r>
        <w:br w:type="page"/>
      </w:r>
    </w:p>
    <w:tbl>
      <w:tblPr>
        <w:tblStyle w:val="a0"/>
        <w:tblW w:w="9924" w:type="dxa"/>
        <w:tblInd w:w="-4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97"/>
        <w:gridCol w:w="7227"/>
      </w:tblGrid>
      <w:tr w:rsidR="008C081B" w14:paraId="623B249E" w14:textId="77777777">
        <w:tc>
          <w:tcPr>
            <w:tcW w:w="2697" w:type="dxa"/>
            <w:vAlign w:val="center"/>
          </w:tcPr>
          <w:p w14:paraId="6A80EFF1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Editorial en revista</w:t>
            </w:r>
          </w:p>
        </w:tc>
        <w:tc>
          <w:tcPr>
            <w:tcW w:w="7227" w:type="dxa"/>
          </w:tcPr>
          <w:p w14:paraId="6F81D0FB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 la publicación de escritos tales como prólogos, comentarios editoriales, presentaciones de libros, u otros análogos, solicitados a profesores(as), por un/una Editor(a) o Comité Editorial, como reconocimiento a su experiencia y que implican el conocimiento profundo sobre un tema.</w:t>
            </w:r>
          </w:p>
        </w:tc>
      </w:tr>
      <w:tr w:rsidR="008C081B" w14:paraId="640FA297" w14:textId="77777777">
        <w:tc>
          <w:tcPr>
            <w:tcW w:w="2697" w:type="dxa"/>
            <w:vAlign w:val="center"/>
          </w:tcPr>
          <w:p w14:paraId="11F8AFEC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Informes técnicos de avance de investigación.</w:t>
            </w:r>
          </w:p>
        </w:tc>
        <w:tc>
          <w:tcPr>
            <w:tcW w:w="7227" w:type="dxa"/>
          </w:tcPr>
          <w:p w14:paraId="0C81A124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 el documento que muestra los avances de una investigación con financiamiento interno o externo, que es realizada por el/la profesor(a).</w:t>
            </w:r>
          </w:p>
        </w:tc>
      </w:tr>
      <w:tr w:rsidR="008C081B" w14:paraId="213A9AA8" w14:textId="77777777">
        <w:tc>
          <w:tcPr>
            <w:tcW w:w="2697" w:type="dxa"/>
            <w:vAlign w:val="center"/>
          </w:tcPr>
          <w:p w14:paraId="46DD63C1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Investigación con financiamiento externo.</w:t>
            </w:r>
          </w:p>
        </w:tc>
        <w:tc>
          <w:tcPr>
            <w:tcW w:w="7227" w:type="dxa"/>
          </w:tcPr>
          <w:p w14:paraId="3648C858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 la investigación, básica o aplicada financiada por una institución u organismo externo a la institución, la cual se encuentra debidamente registrada y avalada ante la instancia correspondiente, que es realizada por el/la profesor(a) con preferente participación de alumnos(as).</w:t>
            </w:r>
          </w:p>
        </w:tc>
      </w:tr>
      <w:tr w:rsidR="008C081B" w14:paraId="1DBC9DFE" w14:textId="77777777">
        <w:tc>
          <w:tcPr>
            <w:tcW w:w="2697" w:type="dxa"/>
            <w:vAlign w:val="center"/>
          </w:tcPr>
          <w:p w14:paraId="604BEBD5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Investigación con financiamiento interno.</w:t>
            </w:r>
          </w:p>
        </w:tc>
        <w:tc>
          <w:tcPr>
            <w:tcW w:w="7227" w:type="dxa"/>
          </w:tcPr>
          <w:p w14:paraId="5BA32B2F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 la investigación básica o aplicada registrada y avalada ante la instancia correspondiente y que ha obtenido un financiamiento institucional, dicha investigación es realizada por el/la profesor(a) con preferente participación de alumnos(as).</w:t>
            </w:r>
          </w:p>
        </w:tc>
      </w:tr>
      <w:tr w:rsidR="008C081B" w14:paraId="14D5A374" w14:textId="77777777">
        <w:tc>
          <w:tcPr>
            <w:tcW w:w="2697" w:type="dxa"/>
            <w:vAlign w:val="center"/>
          </w:tcPr>
          <w:p w14:paraId="6805CCAC" w14:textId="77777777" w:rsidR="008C081B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Libro</w:t>
            </w:r>
          </w:p>
        </w:tc>
        <w:tc>
          <w:tcPr>
            <w:tcW w:w="7227" w:type="dxa"/>
          </w:tcPr>
          <w:p w14:paraId="4189D38D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Obra completa publicada en impreso o en disco sobre temas científicos, tecnológicos, culturales, artísticos o disciplinares, que realiza el/la profesor(a) para ofrecer información relevante sobre un área del conocimiento relacionada con su quehacer. Se valorarán los siguientes criterios de calidad: </w:t>
            </w:r>
          </w:p>
          <w:p w14:paraId="5F85A5BB" w14:textId="77777777" w:rsidR="008C081B" w:rsidRDefault="00000000">
            <w:pPr>
              <w:spacing w:after="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a) La profundidad con que se trate el tema </w:t>
            </w:r>
          </w:p>
          <w:p w14:paraId="2533EB26" w14:textId="77777777" w:rsidR="008C081B" w:rsidRDefault="00000000">
            <w:pPr>
              <w:spacing w:after="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b) La claridad y la vigencia de los conceptos </w:t>
            </w:r>
          </w:p>
          <w:p w14:paraId="53D0E014" w14:textId="77777777" w:rsidR="008C081B" w:rsidRDefault="00000000">
            <w:pPr>
              <w:spacing w:after="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c) Las fuentes de información </w:t>
            </w:r>
          </w:p>
          <w:p w14:paraId="0F313FDA" w14:textId="77777777" w:rsidR="008C081B" w:rsidRDefault="00000000">
            <w:pPr>
              <w:spacing w:after="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d) La contribución al área del conocimiento correspondiente </w:t>
            </w:r>
          </w:p>
          <w:p w14:paraId="6F6B46D7" w14:textId="77777777" w:rsidR="008C081B" w:rsidRDefault="00000000">
            <w:pPr>
              <w:spacing w:after="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e) La extensión </w:t>
            </w:r>
          </w:p>
          <w:p w14:paraId="01898C3D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f) El prestigio de la editorial</w:t>
            </w:r>
          </w:p>
        </w:tc>
      </w:tr>
      <w:tr w:rsidR="008C081B" w14:paraId="1F5FA62D" w14:textId="77777777">
        <w:tc>
          <w:tcPr>
            <w:tcW w:w="2697" w:type="dxa"/>
            <w:vAlign w:val="center"/>
          </w:tcPr>
          <w:p w14:paraId="62EC61D2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Reconocimiento S.N.I.I.</w:t>
            </w:r>
          </w:p>
        </w:tc>
        <w:tc>
          <w:tcPr>
            <w:tcW w:w="7227" w:type="dxa"/>
          </w:tcPr>
          <w:p w14:paraId="2171A1FA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 la distinción y reconocimiento público que otorga el Gobierno Federal por medio del SECIHTI a los/las científicos(as) y tecnólogos(as) que hayan sobresalido por la calidad de su producción y en la formación de nuevos(as) investigadores(as), y por su aportación al fortalecimiento de la investigación científica o tecnológica del país, en su línea de investigación. Las distinciones que confiere el SNII se clasifican en tres categorías que son: Candidato a Investigador Nacional, Investigador Nacional con tres niveles I, II, III y Emérito.</w:t>
            </w:r>
          </w:p>
        </w:tc>
      </w:tr>
      <w:tr w:rsidR="008C081B" w14:paraId="6FEA2D0A" w14:textId="77777777">
        <w:tc>
          <w:tcPr>
            <w:tcW w:w="2697" w:type="dxa"/>
            <w:vAlign w:val="center"/>
          </w:tcPr>
          <w:p w14:paraId="3376C239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Registros ISSN y ISBN</w:t>
            </w:r>
          </w:p>
        </w:tc>
        <w:tc>
          <w:tcPr>
            <w:tcW w:w="7227" w:type="dxa"/>
          </w:tcPr>
          <w:p w14:paraId="6E05CF2F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El ISSN (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t>International Standard Serial Number</w:t>
            </w:r>
            <w:r>
              <w:rPr>
                <w:rFonts w:ascii="Arial" w:eastAsia="Arial" w:hAnsi="Arial" w:cs="Arial"/>
                <w:color w:val="000000"/>
              </w:rPr>
              <w:t xml:space="preserve">, Número Internacional Normalizado de Publicaciones Seriadas) es un número internacional que permite identificar de manera única una colección, evitando el trabajo y posibles errores de transcribir el título o la información bibliográfica pertinente. Se reserva a las publicaciones en serie como los diarios y las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t>Publicaciones Periódicas</w:t>
            </w:r>
            <w:r>
              <w:rPr>
                <w:rFonts w:ascii="Arial" w:eastAsia="Arial" w:hAnsi="Arial" w:cs="Arial"/>
                <w:color w:val="000000"/>
              </w:rPr>
              <w:t xml:space="preserve">. En libros se usa el Número Estándar Internacional de Libro (ISBN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t>International Standard Book Number</w:t>
            </w:r>
            <w:r>
              <w:rPr>
                <w:rFonts w:ascii="Arial" w:eastAsia="Arial" w:hAnsi="Arial" w:cs="Arial"/>
                <w:color w:val="000000"/>
              </w:rPr>
              <w:t>).</w:t>
            </w:r>
          </w:p>
        </w:tc>
      </w:tr>
      <w:tr w:rsidR="008C081B" w14:paraId="26A6261D" w14:textId="77777777">
        <w:tc>
          <w:tcPr>
            <w:tcW w:w="2697" w:type="dxa"/>
            <w:vAlign w:val="center"/>
          </w:tcPr>
          <w:p w14:paraId="05CED94A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Resumen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t xml:space="preserve"> en Extenso</w:t>
            </w:r>
          </w:p>
        </w:tc>
        <w:tc>
          <w:tcPr>
            <w:tcW w:w="7227" w:type="dxa"/>
          </w:tcPr>
          <w:p w14:paraId="6B729AB6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 la publicación resumida donde se presentan resultados de los avances de investigaciones, que informan sobre estudios originales, teorías o técnicas que no han sido publicados con anterioridad y que contribuyen a la generación del conocimiento. Generalmente se presentan entre 2 a 6 cuartillas y se somete para la participación de un evento académico especializado.</w:t>
            </w:r>
          </w:p>
        </w:tc>
      </w:tr>
      <w:tr w:rsidR="008C081B" w14:paraId="159243EF" w14:textId="77777777">
        <w:tc>
          <w:tcPr>
            <w:tcW w:w="2697" w:type="dxa"/>
            <w:vAlign w:val="center"/>
          </w:tcPr>
          <w:p w14:paraId="4F10F2E3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Resumen en Extenso con arbitraje (</w:t>
            </w:r>
            <w:proofErr w:type="spellStart"/>
            <w:r>
              <w:rPr>
                <w:rFonts w:ascii="Arial" w:eastAsia="Arial" w:hAnsi="Arial" w:cs="Arial"/>
                <w:i/>
                <w:iCs/>
                <w:color w:val="000000"/>
              </w:rPr>
              <w:t>Proceeding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)</w:t>
            </w:r>
          </w:p>
        </w:tc>
        <w:tc>
          <w:tcPr>
            <w:tcW w:w="7227" w:type="dxa"/>
          </w:tcPr>
          <w:p w14:paraId="5842CBD3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En el ámbito académico, el procedimiento tiene la colección de artículos académicos publicados en el marco de una conferencia académica, congreso, simposio u otro evento académico especializado. Por lo general se distribuyen como volúmenes impresos o en formato electrónico, ya sea antes de que la conferencia se abra o después de que se haya cerrado. Los </w:t>
            </w:r>
            <w:proofErr w:type="spellStart"/>
            <w:r>
              <w:rPr>
                <w:rFonts w:ascii="Arial" w:eastAsia="Arial" w:hAnsi="Arial" w:cs="Arial"/>
                <w:i/>
                <w:iCs/>
                <w:color w:val="000000"/>
              </w:rPr>
              <w:t>Proceeding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contienen los aportes realizados por los/las investigadores(as) en la conferencia. Pueden llegar a ser publicados en revistas indexadas. </w:t>
            </w:r>
          </w:p>
        </w:tc>
      </w:tr>
      <w:tr w:rsidR="008C081B" w14:paraId="45B8C2B8" w14:textId="77777777">
        <w:tc>
          <w:tcPr>
            <w:tcW w:w="2697" w:type="dxa"/>
            <w:vAlign w:val="center"/>
          </w:tcPr>
          <w:p w14:paraId="2744D8FB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Resumen en Memorias (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Abstract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)</w:t>
            </w:r>
          </w:p>
        </w:tc>
        <w:tc>
          <w:tcPr>
            <w:tcW w:w="7227" w:type="dxa"/>
          </w:tcPr>
          <w:p w14:paraId="1744CEA8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 la publicación de los resultados de avances de investigaciones en revistas especializadas con arbitraje, que informan sobre estudios originales, teorías o técnicas que no han sido publicados con anterioridad y que contribuyen a la generación del conocimiento.</w:t>
            </w:r>
          </w:p>
        </w:tc>
      </w:tr>
    </w:tbl>
    <w:p w14:paraId="5C12F5D1" w14:textId="77777777" w:rsidR="008C081B" w:rsidRDefault="008C081B"/>
    <w:p w14:paraId="5E6D3F1F" w14:textId="77777777" w:rsidR="008C081B" w:rsidRDefault="00000000">
      <w:r>
        <w:br w:type="page"/>
      </w:r>
    </w:p>
    <w:tbl>
      <w:tblPr>
        <w:tblStyle w:val="a1"/>
        <w:tblW w:w="9924" w:type="dxa"/>
        <w:tblInd w:w="-4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97"/>
        <w:gridCol w:w="7227"/>
      </w:tblGrid>
      <w:tr w:rsidR="008C081B" w14:paraId="56E6D41E" w14:textId="77777777">
        <w:tc>
          <w:tcPr>
            <w:tcW w:w="2697" w:type="dxa"/>
            <w:vAlign w:val="center"/>
          </w:tcPr>
          <w:p w14:paraId="201B6D31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Trabajo presentado en evento especializado</w:t>
            </w:r>
          </w:p>
        </w:tc>
        <w:tc>
          <w:tcPr>
            <w:tcW w:w="7227" w:type="dxa"/>
          </w:tcPr>
          <w:p w14:paraId="5738BDFA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 la presentación de los resultados parciales o totales de una investigación, en seminarios, simposios, congresos o cualquier otro evento similar. En caso de que el trabajo haya sido presentado en más de una ocasión, deberá reubicarse en el rubro de conferencia de divulgación.</w:t>
            </w:r>
          </w:p>
          <w:p w14:paraId="36DCFD1B" w14:textId="77777777" w:rsidR="008C081B" w:rsidRDefault="008C08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8C081B" w14:paraId="558B8D3A" w14:textId="77777777">
        <w:trPr>
          <w:trHeight w:val="603"/>
        </w:trPr>
        <w:tc>
          <w:tcPr>
            <w:tcW w:w="9924" w:type="dxa"/>
            <w:gridSpan w:val="2"/>
            <w:shd w:val="clear" w:color="auto" w:fill="DDD9C3"/>
            <w:vAlign w:val="center"/>
          </w:tcPr>
          <w:p w14:paraId="70645E88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Vinculación</w:t>
            </w:r>
          </w:p>
        </w:tc>
      </w:tr>
      <w:tr w:rsidR="008C081B" w14:paraId="6D5514A2" w14:textId="77777777">
        <w:tc>
          <w:tcPr>
            <w:tcW w:w="2697" w:type="dxa"/>
            <w:vAlign w:val="center"/>
          </w:tcPr>
          <w:p w14:paraId="65B5D3CB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Asesoría en incubación de empresas</w:t>
            </w:r>
          </w:p>
        </w:tc>
        <w:tc>
          <w:tcPr>
            <w:tcW w:w="7227" w:type="dxa"/>
          </w:tcPr>
          <w:p w14:paraId="0B8AF7E7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Docente que coordina en el proceso de generación de empresas a personas de dentro y fuera de la institución.</w:t>
            </w:r>
          </w:p>
        </w:tc>
      </w:tr>
      <w:tr w:rsidR="008C081B" w14:paraId="488ED7F4" w14:textId="77777777">
        <w:tc>
          <w:tcPr>
            <w:tcW w:w="2697" w:type="dxa"/>
            <w:vAlign w:val="center"/>
          </w:tcPr>
          <w:p w14:paraId="74058222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Estancia</w:t>
            </w:r>
          </w:p>
        </w:tc>
        <w:tc>
          <w:tcPr>
            <w:tcW w:w="7227" w:type="dxa"/>
          </w:tcPr>
          <w:p w14:paraId="125E5927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Una estancia es el período durante el cual el/la profesor(a) permanecerá en una empresa u organización pública o privada o centro de investigación, desarrollando un proyecto que beneficie tanto al profesor(a) como a los/las estudiantes, a través de la experiencia adquirida al tener un contacto directo con los procesos productivos, administrativos y de investigación de dichas empresas y centros de investigación.</w:t>
            </w:r>
          </w:p>
        </w:tc>
      </w:tr>
      <w:tr w:rsidR="008C081B" w14:paraId="45E32F4D" w14:textId="77777777">
        <w:tc>
          <w:tcPr>
            <w:tcW w:w="2697" w:type="dxa"/>
            <w:vAlign w:val="center"/>
          </w:tcPr>
          <w:p w14:paraId="2AFF7A9E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IMPI</w:t>
            </w:r>
          </w:p>
        </w:tc>
        <w:tc>
          <w:tcPr>
            <w:tcW w:w="7227" w:type="dxa"/>
          </w:tcPr>
          <w:p w14:paraId="260FC41C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Instituto Mexicano de la Propiedad Industrial</w:t>
            </w:r>
          </w:p>
        </w:tc>
      </w:tr>
      <w:tr w:rsidR="008C081B" w14:paraId="449EF671" w14:textId="77777777">
        <w:tc>
          <w:tcPr>
            <w:tcW w:w="2697" w:type="dxa"/>
            <w:vAlign w:val="center"/>
          </w:tcPr>
          <w:p w14:paraId="379A819A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INDAUTOR</w:t>
            </w:r>
          </w:p>
        </w:tc>
        <w:tc>
          <w:tcPr>
            <w:tcW w:w="7227" w:type="dxa"/>
          </w:tcPr>
          <w:p w14:paraId="3D6AC89D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Instituto Nacional de Derechos de Autor</w:t>
            </w:r>
          </w:p>
        </w:tc>
      </w:tr>
      <w:tr w:rsidR="008C081B" w14:paraId="11825619" w14:textId="77777777">
        <w:tc>
          <w:tcPr>
            <w:tcW w:w="2697" w:type="dxa"/>
            <w:vAlign w:val="center"/>
          </w:tcPr>
          <w:p w14:paraId="21612ADD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Membresía</w:t>
            </w:r>
          </w:p>
        </w:tc>
        <w:tc>
          <w:tcPr>
            <w:tcW w:w="7227" w:type="dxa"/>
          </w:tcPr>
          <w:p w14:paraId="27B623A6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Condición de miembro de asociaciones formales profesionales o académicas externas reconocidas acorde a su perfil y funciones dentro de la Institución.</w:t>
            </w:r>
          </w:p>
        </w:tc>
      </w:tr>
      <w:tr w:rsidR="008C081B" w14:paraId="6D00401F" w14:textId="77777777">
        <w:tc>
          <w:tcPr>
            <w:tcW w:w="2697" w:type="dxa"/>
            <w:vAlign w:val="center"/>
          </w:tcPr>
          <w:p w14:paraId="502DB8CD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Modelo de utilidad</w:t>
            </w:r>
          </w:p>
        </w:tc>
        <w:tc>
          <w:tcPr>
            <w:tcW w:w="7227" w:type="dxa"/>
          </w:tcPr>
          <w:p w14:paraId="05176166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 un derecho exclusivo que se concede a una invención y permite al titular del derecho impedir a terceros utilizar comercialmente la invención protegida sin su autorización durante un período limitado.</w:t>
            </w:r>
          </w:p>
        </w:tc>
      </w:tr>
      <w:tr w:rsidR="008C081B" w14:paraId="1179ECD8" w14:textId="77777777">
        <w:tc>
          <w:tcPr>
            <w:tcW w:w="2697" w:type="dxa"/>
            <w:vAlign w:val="center"/>
          </w:tcPr>
          <w:p w14:paraId="3DA8DCB3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Patente</w:t>
            </w:r>
          </w:p>
        </w:tc>
        <w:tc>
          <w:tcPr>
            <w:tcW w:w="7227" w:type="dxa"/>
          </w:tcPr>
          <w:p w14:paraId="12278730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oficial en el que se reconoce la propiedad sobre un invento y que permite la exclusividad en su fabricación y venta durante un tiempo determinado.</w:t>
            </w:r>
          </w:p>
        </w:tc>
      </w:tr>
      <w:tr w:rsidR="008C081B" w14:paraId="1FA2E2DC" w14:textId="77777777">
        <w:tc>
          <w:tcPr>
            <w:tcW w:w="2697" w:type="dxa"/>
            <w:vAlign w:val="center"/>
          </w:tcPr>
          <w:p w14:paraId="0D7FDAFC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Perfil Deseable</w:t>
            </w:r>
          </w:p>
        </w:tc>
        <w:tc>
          <w:tcPr>
            <w:tcW w:w="7227" w:type="dxa"/>
          </w:tcPr>
          <w:p w14:paraId="7D00B814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 el/la profesor(a) que posee un nivel de habilitación superior al de los programas educativos que imparte y que además realiza de forma equilibrada actividades de docencia, generación o aplicación innovadora del conocimiento, tutorías, vinculación y gestión académica.</w:t>
            </w:r>
          </w:p>
        </w:tc>
      </w:tr>
      <w:tr w:rsidR="008C081B" w14:paraId="482F39A8" w14:textId="77777777">
        <w:tc>
          <w:tcPr>
            <w:tcW w:w="2697" w:type="dxa"/>
            <w:vAlign w:val="center"/>
          </w:tcPr>
          <w:p w14:paraId="46E5D4AF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Prestación de servicios tecnológicos</w:t>
            </w:r>
          </w:p>
        </w:tc>
        <w:tc>
          <w:tcPr>
            <w:tcW w:w="7227" w:type="dxa"/>
          </w:tcPr>
          <w:p w14:paraId="7A1D1157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Servicios especializados que presta el/la docente a la empresa previo acuerdo de voluntades, con la finalidad de cubrir necesidades específicas.</w:t>
            </w:r>
          </w:p>
        </w:tc>
      </w:tr>
      <w:tr w:rsidR="008C081B" w14:paraId="6E22573D" w14:textId="77777777">
        <w:tc>
          <w:tcPr>
            <w:tcW w:w="2697" w:type="dxa"/>
            <w:vAlign w:val="center"/>
          </w:tcPr>
          <w:p w14:paraId="56C3B008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Propiedad  industrial</w:t>
            </w:r>
            <w:proofErr w:type="gramEnd"/>
          </w:p>
        </w:tc>
        <w:tc>
          <w:tcPr>
            <w:tcW w:w="7227" w:type="dxa"/>
          </w:tcPr>
          <w:p w14:paraId="2C45001E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Conjunto de derechos que puede poseer una persona física o jurídica sobre una invención, patente, modelo de utilidad, diseño industrial, y un signo distintivo.</w:t>
            </w:r>
          </w:p>
        </w:tc>
      </w:tr>
      <w:tr w:rsidR="008C081B" w14:paraId="10031AFB" w14:textId="77777777">
        <w:tc>
          <w:tcPr>
            <w:tcW w:w="2697" w:type="dxa"/>
            <w:vAlign w:val="center"/>
          </w:tcPr>
          <w:p w14:paraId="36799EEB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Propiedad intelectual</w:t>
            </w:r>
          </w:p>
        </w:tc>
        <w:tc>
          <w:tcPr>
            <w:tcW w:w="7227" w:type="dxa"/>
          </w:tcPr>
          <w:p w14:paraId="72D27C9A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Conjunto de derechos de carácter exclusivo que se otorga por tiempo determinado, a las personas físicas o morales, que han realizado creaciones intelectuales abarcando las obras complementadas por la propiedad industrial, derechos de obtentor y derechos de autor.</w:t>
            </w:r>
          </w:p>
        </w:tc>
      </w:tr>
      <w:tr w:rsidR="008C081B" w14:paraId="57A7C222" w14:textId="77777777">
        <w:tc>
          <w:tcPr>
            <w:tcW w:w="2697" w:type="dxa"/>
            <w:vAlign w:val="center"/>
          </w:tcPr>
          <w:p w14:paraId="622ECC8C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Registros de propiedad industrial</w:t>
            </w:r>
          </w:p>
        </w:tc>
        <w:tc>
          <w:tcPr>
            <w:tcW w:w="7227" w:type="dxa"/>
          </w:tcPr>
          <w:p w14:paraId="386A0DFF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Son los documentos presentados ante el IMPI o Notario Público (Secrecía Industrial) que otorgan el derecho o privilegio legal que se concede a una o varias personas físicas o morales, para producir o utilizar en forma exclusiva y durante un plazo fijo, o a través de terceros bajo licencia, un producto o proceso que haya sido desarrollado por uno(a) o varios(as) profesores(as). </w:t>
            </w:r>
          </w:p>
        </w:tc>
      </w:tr>
      <w:tr w:rsidR="008C081B" w14:paraId="050D6F24" w14:textId="77777777">
        <w:tc>
          <w:tcPr>
            <w:tcW w:w="2697" w:type="dxa"/>
            <w:vAlign w:val="center"/>
          </w:tcPr>
          <w:p w14:paraId="59CF6BAA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Visita a empresa</w:t>
            </w:r>
          </w:p>
        </w:tc>
        <w:tc>
          <w:tcPr>
            <w:tcW w:w="7227" w:type="dxa"/>
          </w:tcPr>
          <w:p w14:paraId="05624662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Se entenderá por visita empresarial, a la visita realizada a una empresa,</w:t>
            </w:r>
          </w:p>
          <w:p w14:paraId="2632C71D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institución pública o privada por un grupo de alumnos(as) y/o docentes de la institución con el objeto de conocer un proceso o procesos previamente determinados de la empresa, relacionado con los contenidos de la asignatura que están cursando; su duración dependerá de la disponibilidad de la empresa, así como de las inquietudes e intervenciones de los/las alumnos(as) surgidas por la visita realizada.</w:t>
            </w:r>
          </w:p>
        </w:tc>
      </w:tr>
      <w:tr w:rsidR="008C081B" w14:paraId="55594606" w14:textId="77777777">
        <w:trPr>
          <w:trHeight w:val="603"/>
        </w:trPr>
        <w:tc>
          <w:tcPr>
            <w:tcW w:w="9924" w:type="dxa"/>
            <w:gridSpan w:val="2"/>
            <w:shd w:val="clear" w:color="auto" w:fill="DDD9C3"/>
            <w:vAlign w:val="center"/>
          </w:tcPr>
          <w:p w14:paraId="6F6D761E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Gestión Académica</w:t>
            </w:r>
          </w:p>
        </w:tc>
      </w:tr>
      <w:tr w:rsidR="008C081B" w14:paraId="3C8C488C" w14:textId="77777777">
        <w:tc>
          <w:tcPr>
            <w:tcW w:w="2697" w:type="dxa"/>
            <w:vAlign w:val="center"/>
          </w:tcPr>
          <w:p w14:paraId="5CE02806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Auditor(a)</w:t>
            </w:r>
          </w:p>
        </w:tc>
        <w:tc>
          <w:tcPr>
            <w:tcW w:w="7227" w:type="dxa"/>
          </w:tcPr>
          <w:p w14:paraId="1E6C51D6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Persona con atributos personales demostrados y competencia para llevar a cabo una auditoría en sistemas de gestión tales como 9001:2015, 14001:2015, 45001:2018, 50001:2018 y políticas del Modelo de Equidad de Género y Responsabilidad Social.</w:t>
            </w:r>
          </w:p>
        </w:tc>
      </w:tr>
      <w:tr w:rsidR="008C081B" w14:paraId="67235331" w14:textId="77777777">
        <w:tc>
          <w:tcPr>
            <w:tcW w:w="2697" w:type="dxa"/>
            <w:vAlign w:val="center"/>
          </w:tcPr>
          <w:p w14:paraId="6CC7F979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Certificación externa de competencias profesionales</w:t>
            </w:r>
          </w:p>
        </w:tc>
        <w:tc>
          <w:tcPr>
            <w:tcW w:w="7227" w:type="dxa"/>
          </w:tcPr>
          <w:p w14:paraId="4EBA9642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 el proceso mediante el cual un organismo certificador reconocido valida los conocimientos, habilidades y destrezas requeridas para el ejercicio de una profesión.</w:t>
            </w:r>
          </w:p>
        </w:tc>
      </w:tr>
      <w:tr w:rsidR="008C081B" w14:paraId="7EDD6DF1" w14:textId="77777777">
        <w:tc>
          <w:tcPr>
            <w:tcW w:w="2697" w:type="dxa"/>
            <w:vAlign w:val="center"/>
          </w:tcPr>
          <w:p w14:paraId="513B6A3F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Comités editoriales</w:t>
            </w:r>
          </w:p>
        </w:tc>
        <w:tc>
          <w:tcPr>
            <w:tcW w:w="7227" w:type="dxa"/>
          </w:tcPr>
          <w:p w14:paraId="6F67DEDB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Grupos colegiados de docentes con experiencia en publicaciones cuya función es la de evaluar y dictaminar propuestas de libros, artículos y revistas o cualquier otra obra editorial.</w:t>
            </w:r>
          </w:p>
        </w:tc>
      </w:tr>
      <w:tr w:rsidR="008C081B" w14:paraId="7FBFBFB7" w14:textId="77777777">
        <w:tc>
          <w:tcPr>
            <w:tcW w:w="2697" w:type="dxa"/>
            <w:vAlign w:val="center"/>
          </w:tcPr>
          <w:p w14:paraId="0FCFB675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Comités para la evaluación de propuestas de proyectos de investigación</w:t>
            </w:r>
          </w:p>
        </w:tc>
        <w:tc>
          <w:tcPr>
            <w:tcW w:w="7227" w:type="dxa"/>
          </w:tcPr>
          <w:p w14:paraId="2E975C61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Grupos colegiados de docentes con experiencia investigadora cuya función es la de evaluar y dictaminar propuestas de proyectos de investigación y desarrollo tecnológico.</w:t>
            </w:r>
          </w:p>
        </w:tc>
      </w:tr>
      <w:tr w:rsidR="008C081B" w14:paraId="28168D5F" w14:textId="77777777">
        <w:tc>
          <w:tcPr>
            <w:tcW w:w="2697" w:type="dxa"/>
            <w:vAlign w:val="center"/>
          </w:tcPr>
          <w:p w14:paraId="7A2ABE72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Estudios de factibilidad</w:t>
            </w:r>
          </w:p>
        </w:tc>
        <w:tc>
          <w:tcPr>
            <w:tcW w:w="7227" w:type="dxa"/>
          </w:tcPr>
          <w:p w14:paraId="54D91C11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Actividad realizada para comprobar la pertinencia de un programa académico o especialidad.</w:t>
            </w:r>
          </w:p>
        </w:tc>
      </w:tr>
      <w:tr w:rsidR="008C081B" w14:paraId="7D81C91A" w14:textId="77777777">
        <w:tc>
          <w:tcPr>
            <w:tcW w:w="2697" w:type="dxa"/>
            <w:vAlign w:val="center"/>
          </w:tcPr>
          <w:p w14:paraId="043A3D26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Eventos académicos, de calidad y de innovación</w:t>
            </w:r>
          </w:p>
        </w:tc>
        <w:tc>
          <w:tcPr>
            <w:tcW w:w="7227" w:type="dxa"/>
          </w:tcPr>
          <w:p w14:paraId="494880CB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Eventos en los que se presenta el resultado del trabajo académico de estudiantes con la asesoría de docentes, y organizados por instituciones académicas nacionales o internacionales.</w:t>
            </w:r>
          </w:p>
        </w:tc>
      </w:tr>
      <w:tr w:rsidR="008C081B" w14:paraId="29BAE102" w14:textId="77777777">
        <w:tc>
          <w:tcPr>
            <w:tcW w:w="2697" w:type="dxa"/>
            <w:vAlign w:val="center"/>
          </w:tcPr>
          <w:p w14:paraId="770CF715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Formación docente y/o actualización</w:t>
            </w:r>
          </w:p>
        </w:tc>
        <w:tc>
          <w:tcPr>
            <w:tcW w:w="7227" w:type="dxa"/>
          </w:tcPr>
          <w:p w14:paraId="476FDE95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Cursos orientados a incrementar o fortalecer sus competencias docentes y/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o  profesionales</w:t>
            </w:r>
            <w:proofErr w:type="gramEnd"/>
          </w:p>
        </w:tc>
      </w:tr>
      <w:tr w:rsidR="008C081B" w14:paraId="2FB3A2BA" w14:textId="77777777">
        <w:tc>
          <w:tcPr>
            <w:tcW w:w="2697" w:type="dxa"/>
            <w:vAlign w:val="center"/>
          </w:tcPr>
          <w:p w14:paraId="0156CC44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Reedición de libro</w:t>
            </w:r>
          </w:p>
        </w:tc>
        <w:tc>
          <w:tcPr>
            <w:tcW w:w="7227" w:type="dxa"/>
          </w:tcPr>
          <w:p w14:paraId="79E70B91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 la tarea de revisar una edición de un libro y hacerle modificaciones y mejoras que incluyan actualizar y/o añadir información a un libro escrito por el mismo autor(a).</w:t>
            </w:r>
          </w:p>
        </w:tc>
      </w:tr>
      <w:tr w:rsidR="008C081B" w14:paraId="49998980" w14:textId="77777777">
        <w:trPr>
          <w:trHeight w:val="859"/>
        </w:trPr>
        <w:tc>
          <w:tcPr>
            <w:tcW w:w="2697" w:type="dxa"/>
            <w:vAlign w:val="center"/>
          </w:tcPr>
          <w:p w14:paraId="197691EA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Traducción de libro Técnico-Científico</w:t>
            </w:r>
          </w:p>
        </w:tc>
        <w:tc>
          <w:tcPr>
            <w:tcW w:w="7227" w:type="dxa"/>
          </w:tcPr>
          <w:p w14:paraId="74C87766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Se considera traducción u obra traducida la traslación de un escrito de un idioma a otro – en este caso el español- con el fin de acercar a los/las interesados(as) material informativo valioso que apoye las funciones académicas, de docencia, investigación y extensión educativa en el TecNM. Pero es obligado que, para la publicación, se cumplimenten los requisitos legales para la plena protección de los derechos de autor y de traducción.</w:t>
            </w:r>
          </w:p>
        </w:tc>
      </w:tr>
      <w:tr w:rsidR="008C081B" w14:paraId="250AB8FA" w14:textId="77777777">
        <w:trPr>
          <w:trHeight w:val="525"/>
        </w:trPr>
        <w:tc>
          <w:tcPr>
            <w:tcW w:w="2697" w:type="dxa"/>
            <w:vAlign w:val="center"/>
          </w:tcPr>
          <w:p w14:paraId="223CE0AC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RD</w:t>
            </w:r>
          </w:p>
        </w:tc>
        <w:tc>
          <w:tcPr>
            <w:tcW w:w="7227" w:type="dxa"/>
          </w:tcPr>
          <w:p w14:paraId="1483F2EA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Responsable de la Dirección, persona designada por el director general como representante ante los sistemas de gestión de calidad.</w:t>
            </w:r>
          </w:p>
        </w:tc>
      </w:tr>
      <w:tr w:rsidR="008C081B" w14:paraId="55A36069" w14:textId="77777777">
        <w:trPr>
          <w:trHeight w:val="525"/>
        </w:trPr>
        <w:tc>
          <w:tcPr>
            <w:tcW w:w="2697" w:type="dxa"/>
            <w:vAlign w:val="center"/>
          </w:tcPr>
          <w:p w14:paraId="27670A9D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Replica</w:t>
            </w:r>
          </w:p>
        </w:tc>
        <w:tc>
          <w:tcPr>
            <w:tcW w:w="7227" w:type="dxa"/>
          </w:tcPr>
          <w:p w14:paraId="370F00ED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El derecho que tiene el profesorado para la aclaración de un criterio que no fue considerado conforme al lineamiento y/o al sistema de evaluación del PEDD. </w:t>
            </w:r>
          </w:p>
        </w:tc>
      </w:tr>
      <w:tr w:rsidR="008C081B" w14:paraId="3D67E821" w14:textId="77777777">
        <w:trPr>
          <w:trHeight w:val="525"/>
        </w:trPr>
        <w:tc>
          <w:tcPr>
            <w:tcW w:w="2697" w:type="dxa"/>
            <w:vAlign w:val="center"/>
          </w:tcPr>
          <w:p w14:paraId="77B66D97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Personal Directivo </w:t>
            </w:r>
          </w:p>
        </w:tc>
        <w:tc>
          <w:tcPr>
            <w:tcW w:w="7227" w:type="dxa"/>
          </w:tcPr>
          <w:p w14:paraId="2C9724B4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Personal con cargo de Direcciones, Subdirecciones, Jefaturas de División Jefaturas de Departamento de las diferentes áreas ITD.</w:t>
            </w:r>
          </w:p>
        </w:tc>
      </w:tr>
      <w:tr w:rsidR="008C081B" w14:paraId="370F9A30" w14:textId="77777777">
        <w:trPr>
          <w:trHeight w:val="525"/>
        </w:trPr>
        <w:tc>
          <w:tcPr>
            <w:tcW w:w="2697" w:type="dxa"/>
            <w:vAlign w:val="center"/>
          </w:tcPr>
          <w:p w14:paraId="5641128D" w14:textId="77777777" w:rsidR="008C081B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Personal Administrativo</w:t>
            </w:r>
          </w:p>
        </w:tc>
        <w:tc>
          <w:tcPr>
            <w:tcW w:w="7227" w:type="dxa"/>
          </w:tcPr>
          <w:p w14:paraId="19719FE4" w14:textId="77777777" w:rsidR="008C08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Personal que no cuenta con clave presupuestal de SEP como profesor o técnico docente.</w:t>
            </w:r>
          </w:p>
        </w:tc>
      </w:tr>
    </w:tbl>
    <w:p w14:paraId="6C9AEB4B" w14:textId="77777777" w:rsidR="008C081B" w:rsidRDefault="008C081B"/>
    <w:sectPr w:rsidR="008C081B">
      <w:headerReference w:type="default" r:id="rId7"/>
      <w:headerReference w:type="first" r:id="rId8"/>
      <w:pgSz w:w="12242" w:h="15842"/>
      <w:pgMar w:top="567" w:right="1043" w:bottom="567" w:left="1191" w:header="397" w:footer="39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64FEDF" w14:textId="77777777" w:rsidR="00AF28CD" w:rsidRDefault="00AF28CD">
      <w:r>
        <w:separator/>
      </w:r>
    </w:p>
  </w:endnote>
  <w:endnote w:type="continuationSeparator" w:id="0">
    <w:p w14:paraId="1A5B7991" w14:textId="77777777" w:rsidR="00AF28CD" w:rsidRDefault="00AF28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8D1D8AB-F743-4755-8C66-CF1D23B8DAB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2" w:fontKey="{2ACC63B2-FA15-4A89-B015-7ED717DB4A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  <w:embedRegular r:id="rId3" w:fontKey="{718AD731-9420-4939-AFBA-655DA8BEA9F2}"/>
  </w:font>
  <w:font w:name="Courier">
    <w:panose1 w:val="020704090202050204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479C8A47-7F83-4BC6-A171-521BED6E3F9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E358F43D-7718-48EC-8B22-D75DBE7AD64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BC2A53" w14:textId="77777777" w:rsidR="00AF28CD" w:rsidRDefault="00AF28CD">
      <w:r>
        <w:separator/>
      </w:r>
    </w:p>
  </w:footnote>
  <w:footnote w:type="continuationSeparator" w:id="0">
    <w:p w14:paraId="207B440E" w14:textId="77777777" w:rsidR="00AF28CD" w:rsidRDefault="00AF28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5E9E8A" w14:textId="77777777" w:rsidR="008C081B" w:rsidRDefault="00000000">
    <w:r>
      <w:rPr>
        <w:noProof/>
      </w:rPr>
      <w:drawing>
        <wp:anchor distT="0" distB="0" distL="0" distR="0" simplePos="0" relativeHeight="251658240" behindDoc="1" locked="0" layoutInCell="1" hidden="0" allowOverlap="1" wp14:anchorId="58E3BDE5" wp14:editId="33F8E45E">
          <wp:simplePos x="0" y="0"/>
          <wp:positionH relativeFrom="column">
            <wp:posOffset>143510</wp:posOffset>
          </wp:positionH>
          <wp:positionV relativeFrom="paragraph">
            <wp:posOffset>52069</wp:posOffset>
          </wp:positionV>
          <wp:extent cx="3354070" cy="419735"/>
          <wp:effectExtent l="0" t="0" r="0" b="0"/>
          <wp:wrapNone/>
          <wp:docPr id="1" name="image1.png" descr="LOGOS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S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354070" cy="4197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8F4B6AD" w14:textId="77777777" w:rsidR="008C081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  <w:sz w:val="24"/>
        <w:szCs w:val="24"/>
      </w:rPr>
    </w:pPr>
    <w:r>
      <w:rPr>
        <w:rFonts w:ascii="Arial" w:eastAsia="Arial" w:hAnsi="Arial" w:cs="Arial"/>
        <w:color w:val="000000"/>
        <w:sz w:val="24"/>
        <w:szCs w:val="24"/>
      </w:rPr>
      <w:tab/>
    </w:r>
  </w:p>
  <w:p w14:paraId="6F10DA92" w14:textId="77777777" w:rsidR="008C081B" w:rsidRDefault="008C081B">
    <w:pPr>
      <w:jc w:val="right"/>
      <w:rPr>
        <w:rFonts w:ascii="Montserrat" w:eastAsia="Montserrat" w:hAnsi="Montserrat" w:cs="Montserrat"/>
        <w:sz w:val="16"/>
        <w:szCs w:val="16"/>
      </w:rPr>
    </w:pPr>
  </w:p>
  <w:p w14:paraId="749E0574" w14:textId="77777777" w:rsidR="008C081B" w:rsidRDefault="008C081B">
    <w:pPr>
      <w:jc w:val="right"/>
      <w:rPr>
        <w:rFonts w:ascii="Montserrat" w:eastAsia="Montserrat" w:hAnsi="Montserrat" w:cs="Montserrat"/>
        <w:sz w:val="16"/>
        <w:szCs w:val="16"/>
      </w:rPr>
    </w:pPr>
  </w:p>
  <w:p w14:paraId="6D441B10" w14:textId="77777777" w:rsidR="008C081B" w:rsidRDefault="00000000">
    <w:pPr>
      <w:jc w:val="right"/>
      <w:rPr>
        <w:rFonts w:ascii="Montserrat" w:eastAsia="Montserrat" w:hAnsi="Montserrat" w:cs="Montserrat"/>
        <w:sz w:val="22"/>
        <w:szCs w:val="22"/>
      </w:rPr>
    </w:pPr>
    <w:r>
      <w:rPr>
        <w:rFonts w:ascii="Montserrat" w:eastAsia="Montserrat" w:hAnsi="Montserrat" w:cs="Montserrat"/>
      </w:rPr>
      <w:t>Dirección de Institutos Tecnológicos Descentralizados</w:t>
    </w:r>
  </w:p>
  <w:p w14:paraId="68CF329D" w14:textId="77777777" w:rsidR="008C081B" w:rsidRDefault="008C081B">
    <w:pPr>
      <w:spacing w:line="360" w:lineRule="auto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DAC462" w14:textId="77777777" w:rsidR="008C081B" w:rsidRDefault="00000000">
    <w:pPr>
      <w:widowControl w:val="0"/>
      <w:pBdr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</w:pBdr>
      <w:rPr>
        <w:rFonts w:ascii="Courier" w:eastAsia="Courier" w:hAnsi="Courier" w:cs="Courier"/>
      </w:rPr>
    </w:pPr>
    <w:r>
      <w:rPr>
        <w:rFonts w:ascii="Courier" w:eastAsia="Courier" w:hAnsi="Courier" w:cs="Courier"/>
        <w:noProof/>
      </w:rPr>
      <w:drawing>
        <wp:inline distT="0" distB="0" distL="114300" distR="114300" wp14:anchorId="6E5DAC62" wp14:editId="1AAB1B52">
          <wp:extent cx="1948815" cy="856615"/>
          <wp:effectExtent l="0" t="0" r="0" b="0"/>
          <wp:docPr id="2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48815" cy="8566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AACC83B" w14:textId="77777777" w:rsidR="008C081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t xml:space="preserve"> </w: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3143EC09" wp14:editId="15C2E78B">
          <wp:simplePos x="0" y="0"/>
          <wp:positionH relativeFrom="column">
            <wp:posOffset>4951095</wp:posOffset>
          </wp:positionH>
          <wp:positionV relativeFrom="paragraph">
            <wp:posOffset>419734</wp:posOffset>
          </wp:positionV>
          <wp:extent cx="1504950" cy="752475"/>
          <wp:effectExtent l="0" t="0" r="0" b="0"/>
          <wp:wrapSquare wrapText="bothSides" distT="0" distB="0" distL="114300" distR="114300"/>
          <wp:docPr id="3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04950" cy="752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592501C"/>
    <w:multiLevelType w:val="multilevel"/>
    <w:tmpl w:val="C5CCCE1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num w:numId="1" w16cid:durableId="5969054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C081B"/>
    <w:rsid w:val="001309BB"/>
    <w:rsid w:val="007970C2"/>
    <w:rsid w:val="008C081B"/>
    <w:rsid w:val="00AF28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862EE7"/>
  <w15:docId w15:val="{D9A27A0D-106A-448E-AC51-9447D1979D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1906</Words>
  <Characters>11214</Characters>
  <Application>Microsoft Office Word</Application>
  <DocSecurity>0</DocSecurity>
  <Lines>267</Lines>
  <Paragraphs>135</Paragraphs>
  <ScaleCrop>false</ScaleCrop>
  <Company/>
  <LinksUpToDate>false</LinksUpToDate>
  <CharactersWithSpaces>12985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Vicky Trejo</cp:lastModifiedBy>
  <cp:revision>2</cp:revision>
  <dcterms:created xsi:type="dcterms:W3CDTF">2026-02-04T18:44:00Z</dcterms:created>
  <dcterms:modified xsi:type="dcterms:W3CDTF">2026-02-04T18:45:00Z</dcterms:modified>
</cp:coreProperties>
</file>